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40" w:rsidRPr="00A41474" w:rsidRDefault="00234E40" w:rsidP="002260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474">
        <w:rPr>
          <w:rFonts w:ascii="Times New Roman" w:hAnsi="Times New Roman" w:cs="Times New Roman"/>
          <w:b/>
          <w:sz w:val="24"/>
          <w:szCs w:val="24"/>
        </w:rPr>
        <w:t>PROCURADORIA GERAL DO MUNICÍPIO DE NOVA IGUAÇU</w:t>
      </w:r>
    </w:p>
    <w:p w:rsidR="00234E40" w:rsidRPr="00A41474" w:rsidRDefault="00234E40" w:rsidP="002260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474">
        <w:rPr>
          <w:rFonts w:ascii="Times New Roman" w:hAnsi="Times New Roman" w:cs="Times New Roman"/>
          <w:b/>
          <w:sz w:val="24"/>
          <w:szCs w:val="24"/>
        </w:rPr>
        <w:t>Centro de Estudos Jurídicos – CEJUR</w:t>
      </w:r>
    </w:p>
    <w:p w:rsidR="00234E40" w:rsidRPr="00A41474" w:rsidRDefault="00234E40" w:rsidP="005A24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474">
        <w:rPr>
          <w:rFonts w:ascii="Times New Roman" w:hAnsi="Times New Roman" w:cs="Times New Roman"/>
          <w:b/>
          <w:sz w:val="24"/>
          <w:szCs w:val="24"/>
        </w:rPr>
        <w:t>Exame de seleção – Estágio Forense 2020/2021</w:t>
      </w:r>
    </w:p>
    <w:p w:rsidR="00234E40" w:rsidRPr="00A41474" w:rsidRDefault="00234E40" w:rsidP="002260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FB1" w:rsidRPr="00A41474" w:rsidRDefault="00047FB1" w:rsidP="002260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1474">
        <w:rPr>
          <w:rFonts w:ascii="Times New Roman" w:hAnsi="Times New Roman" w:cs="Times New Roman"/>
          <w:sz w:val="24"/>
          <w:szCs w:val="24"/>
          <w:u w:val="single"/>
        </w:rPr>
        <w:t>DIREITO CONSTITUCIONAL</w:t>
      </w:r>
    </w:p>
    <w:p w:rsidR="00047FB1" w:rsidRPr="00A41474" w:rsidRDefault="00047FB1" w:rsidP="002260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FB1" w:rsidRPr="00A41474" w:rsidRDefault="00047FB1" w:rsidP="0022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4">
        <w:rPr>
          <w:rFonts w:ascii="Times New Roman" w:hAnsi="Times New Roman" w:cs="Times New Roman"/>
          <w:sz w:val="24"/>
          <w:szCs w:val="24"/>
        </w:rPr>
        <w:t>Considere o seguinte caso hipotético:</w:t>
      </w:r>
    </w:p>
    <w:p w:rsidR="00047FB1" w:rsidRPr="00A41474" w:rsidRDefault="00047FB1" w:rsidP="0022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4">
        <w:rPr>
          <w:rFonts w:ascii="Times New Roman" w:hAnsi="Times New Roman" w:cs="Times New Roman"/>
          <w:sz w:val="24"/>
          <w:szCs w:val="24"/>
        </w:rPr>
        <w:t xml:space="preserve">O ano de 2020 foi marcado pela pandemia COVID-19. A crise sanitária resultou em graves dificuldades financeiras e econômicas, dentre elas, o desemprego. Em reunião com os secretários municipais em janeiro de 2021, o prefeito do município “Alfa”, sensibilizado com a situação, diz que pretende enviar projeto de lei à Câmara de Vereadores propondo a redução de alguns tributos municipais, sendo necessário para gozar de tal benefício, que o contribuinte seja residente e domiciliado no município “Alfa” e quer que a norma entre em vigor em 60 dias após sua publicação. O Procurador-Geral do município, presente na sessão, foi instado a se manifestar sobre tal pretensão. Indagou-se: </w:t>
      </w:r>
      <w:r w:rsidRPr="00A41474">
        <w:rPr>
          <w:rFonts w:ascii="Times New Roman" w:hAnsi="Times New Roman" w:cs="Times New Roman"/>
          <w:b/>
          <w:sz w:val="24"/>
          <w:szCs w:val="24"/>
        </w:rPr>
        <w:t>(i)</w:t>
      </w:r>
      <w:r w:rsidRPr="00A41474">
        <w:rPr>
          <w:rFonts w:ascii="Times New Roman" w:hAnsi="Times New Roman" w:cs="Times New Roman"/>
          <w:sz w:val="24"/>
          <w:szCs w:val="24"/>
        </w:rPr>
        <w:t xml:space="preserve"> a ideia se coaduna com os preceitos constitucionais? </w:t>
      </w:r>
      <w:r w:rsidRPr="00A4147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41474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A41474">
        <w:rPr>
          <w:rFonts w:ascii="Times New Roman" w:hAnsi="Times New Roman" w:cs="Times New Roman"/>
          <w:b/>
          <w:sz w:val="24"/>
          <w:szCs w:val="24"/>
        </w:rPr>
        <w:t>)</w:t>
      </w:r>
      <w:r w:rsidRPr="00A41474">
        <w:rPr>
          <w:rFonts w:ascii="Times New Roman" w:hAnsi="Times New Roman" w:cs="Times New Roman"/>
          <w:sz w:val="24"/>
          <w:szCs w:val="24"/>
        </w:rPr>
        <w:t xml:space="preserve"> qual é a fundamentação jurídica da (in)constitucionalidade? </w:t>
      </w:r>
      <w:r w:rsidRPr="00A4147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41474">
        <w:rPr>
          <w:rFonts w:ascii="Times New Roman" w:hAnsi="Times New Roman" w:cs="Times New Roman"/>
          <w:b/>
          <w:sz w:val="24"/>
          <w:szCs w:val="24"/>
        </w:rPr>
        <w:t>iii</w:t>
      </w:r>
      <w:proofErr w:type="spellEnd"/>
      <w:r w:rsidRPr="00A41474">
        <w:rPr>
          <w:rFonts w:ascii="Times New Roman" w:hAnsi="Times New Roman" w:cs="Times New Roman"/>
          <w:b/>
          <w:sz w:val="24"/>
          <w:szCs w:val="24"/>
        </w:rPr>
        <w:t>)</w:t>
      </w:r>
      <w:r w:rsidRPr="00A41474">
        <w:rPr>
          <w:rFonts w:ascii="Times New Roman" w:hAnsi="Times New Roman" w:cs="Times New Roman"/>
          <w:sz w:val="24"/>
          <w:szCs w:val="24"/>
        </w:rPr>
        <w:t xml:space="preserve"> haveria algum óbice quanto ao período de </w:t>
      </w:r>
      <w:proofErr w:type="spellStart"/>
      <w:r w:rsidRPr="00A41474">
        <w:rPr>
          <w:rFonts w:ascii="Times New Roman" w:hAnsi="Times New Roman" w:cs="Times New Roman"/>
          <w:i/>
          <w:sz w:val="24"/>
          <w:szCs w:val="24"/>
        </w:rPr>
        <w:t>va</w:t>
      </w:r>
      <w:r w:rsidR="0041520A" w:rsidRPr="00A41474">
        <w:rPr>
          <w:rFonts w:ascii="Times New Roman" w:hAnsi="Times New Roman" w:cs="Times New Roman"/>
          <w:i/>
          <w:sz w:val="24"/>
          <w:szCs w:val="24"/>
        </w:rPr>
        <w:t>ca</w:t>
      </w:r>
      <w:r w:rsidR="004815F6">
        <w:rPr>
          <w:rFonts w:ascii="Times New Roman" w:hAnsi="Times New Roman" w:cs="Times New Roman"/>
          <w:i/>
          <w:sz w:val="24"/>
          <w:szCs w:val="24"/>
        </w:rPr>
        <w:t>t</w:t>
      </w:r>
      <w:r w:rsidRPr="00A41474">
        <w:rPr>
          <w:rFonts w:ascii="Times New Roman" w:hAnsi="Times New Roman" w:cs="Times New Roman"/>
          <w:i/>
          <w:sz w:val="24"/>
          <w:szCs w:val="24"/>
        </w:rPr>
        <w:t>io</w:t>
      </w:r>
      <w:proofErr w:type="spellEnd"/>
      <w:r w:rsidRPr="00A41474">
        <w:rPr>
          <w:rFonts w:ascii="Times New Roman" w:hAnsi="Times New Roman" w:cs="Times New Roman"/>
          <w:sz w:val="24"/>
          <w:szCs w:val="24"/>
        </w:rPr>
        <w:t xml:space="preserve"> </w:t>
      </w:r>
      <w:r w:rsidRPr="00A41474">
        <w:rPr>
          <w:rFonts w:ascii="Times New Roman" w:hAnsi="Times New Roman" w:cs="Times New Roman"/>
          <w:i/>
          <w:sz w:val="24"/>
          <w:szCs w:val="24"/>
        </w:rPr>
        <w:t>legis</w:t>
      </w:r>
      <w:r w:rsidRPr="00A41474">
        <w:rPr>
          <w:rFonts w:ascii="Times New Roman" w:hAnsi="Times New Roman" w:cs="Times New Roman"/>
          <w:sz w:val="24"/>
          <w:szCs w:val="24"/>
        </w:rPr>
        <w:t xml:space="preserve"> pretendido? Explique, de forma fundamentada, como deveriam ser as respostas do Procurador-Geral para cada indagação.</w:t>
      </w:r>
      <w:bookmarkStart w:id="0" w:name="_GoBack"/>
      <w:bookmarkEnd w:id="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222"/>
        <w:gridCol w:w="1386"/>
      </w:tblGrid>
      <w:tr w:rsidR="005A2471" w:rsidRPr="00A41474" w:rsidTr="005A2471">
        <w:trPr>
          <w:jc w:val="center"/>
        </w:trPr>
        <w:tc>
          <w:tcPr>
            <w:tcW w:w="9344" w:type="dxa"/>
            <w:gridSpan w:val="3"/>
          </w:tcPr>
          <w:p w:rsidR="005A2471" w:rsidRPr="00A41474" w:rsidRDefault="005A2471" w:rsidP="005A2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GABARITO - ESPELHO DE CORREÇÃO</w:t>
            </w:r>
          </w:p>
        </w:tc>
      </w:tr>
      <w:tr w:rsidR="005A2471" w:rsidRPr="00A41474" w:rsidTr="005A2471">
        <w:trPr>
          <w:jc w:val="center"/>
        </w:trPr>
        <w:tc>
          <w:tcPr>
            <w:tcW w:w="736" w:type="dxa"/>
          </w:tcPr>
          <w:p w:rsidR="005A2471" w:rsidRPr="00A41474" w:rsidRDefault="005A2471" w:rsidP="005A2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222" w:type="dxa"/>
          </w:tcPr>
          <w:p w:rsidR="005A2471" w:rsidRPr="00A41474" w:rsidRDefault="005A2471" w:rsidP="005A2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Gabarito</w:t>
            </w:r>
          </w:p>
        </w:tc>
        <w:tc>
          <w:tcPr>
            <w:tcW w:w="1386" w:type="dxa"/>
          </w:tcPr>
          <w:p w:rsidR="005A2471" w:rsidRPr="00A41474" w:rsidRDefault="005A2471" w:rsidP="005A2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  <w:r w:rsidR="005F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</w:t>
            </w:r>
          </w:p>
        </w:tc>
      </w:tr>
      <w:tr w:rsidR="005A2471" w:rsidRPr="00A41474" w:rsidTr="005A2471">
        <w:trPr>
          <w:jc w:val="center"/>
        </w:trPr>
        <w:tc>
          <w:tcPr>
            <w:tcW w:w="736" w:type="dxa"/>
          </w:tcPr>
          <w:p w:rsidR="005A2471" w:rsidRPr="00A41474" w:rsidRDefault="005A2471" w:rsidP="00226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22" w:type="dxa"/>
          </w:tcPr>
          <w:p w:rsidR="005A2471" w:rsidRPr="00A41474" w:rsidRDefault="005A2471" w:rsidP="00E848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23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 w:rsidR="005F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823" w:rsidRPr="005F68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6823" w:rsidRPr="000677D6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 w:rsidR="005F6823" w:rsidRPr="005F6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68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386" w:type="dxa"/>
          </w:tcPr>
          <w:p w:rsidR="005A2471" w:rsidRPr="000677D6" w:rsidRDefault="00A41474" w:rsidP="00A41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8489F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5A2471" w:rsidRPr="00A41474" w:rsidTr="005A2471">
        <w:trPr>
          <w:jc w:val="center"/>
        </w:trPr>
        <w:tc>
          <w:tcPr>
            <w:tcW w:w="736" w:type="dxa"/>
          </w:tcPr>
          <w:p w:rsidR="005A2471" w:rsidRPr="00A41474" w:rsidRDefault="005A2471" w:rsidP="00226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spellEnd"/>
            <w:proofErr w:type="gramEnd"/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22" w:type="dxa"/>
          </w:tcPr>
          <w:p w:rsidR="005A2471" w:rsidRPr="00A41474" w:rsidRDefault="0025684F" w:rsidP="002568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F">
              <w:rPr>
                <w:rFonts w:ascii="Times New Roman" w:hAnsi="Times New Roman" w:cs="Times New Roman"/>
                <w:sz w:val="24"/>
                <w:szCs w:val="24"/>
              </w:rPr>
              <w:t>Art. 152, Constituição Federal (</w:t>
            </w:r>
            <w:r w:rsidRPr="00890F62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  <w:r w:rsidRPr="002568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823" w:rsidRPr="005F6823">
              <w:rPr>
                <w:rFonts w:ascii="Times New Roman" w:hAnsi="Times New Roman" w:cs="Times New Roman"/>
                <w:sz w:val="24"/>
                <w:szCs w:val="24"/>
              </w:rPr>
              <w:t>Violação à isonomia tributária</w:t>
            </w:r>
            <w:r w:rsidR="005F68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6823" w:rsidRPr="000677D6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  <w:r w:rsidR="005F6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6823" w:rsidRPr="005F6823">
              <w:rPr>
                <w:rFonts w:ascii="Times New Roman" w:hAnsi="Times New Roman" w:cs="Times New Roman"/>
                <w:sz w:val="24"/>
                <w:szCs w:val="24"/>
              </w:rPr>
              <w:t xml:space="preserve"> e ao princípio da não diferenciação tributária</w:t>
            </w:r>
            <w:r w:rsidR="005F6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(procedência ou destino) </w:t>
            </w:r>
            <w:r w:rsidR="005F68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6823" w:rsidRPr="000677D6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  <w:r w:rsidR="005F68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E8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</w:tcPr>
          <w:p w:rsidR="005A2471" w:rsidRPr="000677D6" w:rsidRDefault="00E8489F" w:rsidP="00A41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5A2471" w:rsidRPr="00A41474" w:rsidTr="005A2471">
        <w:trPr>
          <w:jc w:val="center"/>
        </w:trPr>
        <w:tc>
          <w:tcPr>
            <w:tcW w:w="736" w:type="dxa"/>
          </w:tcPr>
          <w:p w:rsidR="005A2471" w:rsidRPr="00A41474" w:rsidRDefault="005A2471" w:rsidP="00226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proofErr w:type="spellEnd"/>
            <w:proofErr w:type="gramEnd"/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22" w:type="dxa"/>
          </w:tcPr>
          <w:p w:rsidR="005A2471" w:rsidRPr="00A41474" w:rsidRDefault="00060114" w:rsidP="002260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14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677D6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0114">
              <w:rPr>
                <w:rFonts w:ascii="Times New Roman" w:hAnsi="Times New Roman" w:cs="Times New Roman"/>
                <w:sz w:val="24"/>
                <w:szCs w:val="24"/>
              </w:rPr>
              <w:t xml:space="preserve">. O princípio da anterioridade anual e </w:t>
            </w:r>
            <w:proofErr w:type="spellStart"/>
            <w:r w:rsidRPr="00060114">
              <w:rPr>
                <w:rFonts w:ascii="Times New Roman" w:hAnsi="Times New Roman" w:cs="Times New Roman"/>
                <w:sz w:val="24"/>
                <w:szCs w:val="24"/>
              </w:rPr>
              <w:t>nonagesimal</w:t>
            </w:r>
            <w:proofErr w:type="spellEnd"/>
            <w:r w:rsidRPr="000601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114">
              <w:rPr>
                <w:rFonts w:ascii="Times New Roman" w:hAnsi="Times New Roman" w:cs="Times New Roman"/>
                <w:sz w:val="24"/>
                <w:szCs w:val="24"/>
              </w:rPr>
              <w:t>noventena</w:t>
            </w:r>
            <w:proofErr w:type="spellEnd"/>
            <w:r w:rsidRPr="00060114">
              <w:rPr>
                <w:rFonts w:ascii="Times New Roman" w:hAnsi="Times New Roman" w:cs="Times New Roman"/>
                <w:sz w:val="24"/>
                <w:szCs w:val="24"/>
              </w:rPr>
              <w:t xml:space="preserve"> veda a cobrança de tributo que tenha sido instituído ou aumentado</w:t>
            </w:r>
            <w:r w:rsidR="000677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677D6" w:rsidRPr="000677D6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  <w:r w:rsidR="00067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0114">
              <w:rPr>
                <w:rFonts w:ascii="Times New Roman" w:hAnsi="Times New Roman" w:cs="Times New Roman"/>
                <w:sz w:val="24"/>
                <w:szCs w:val="24"/>
              </w:rPr>
              <w:t>. No caso, haveria redução de tributos. Portanto, não seriam aplicáveis à hipótese</w:t>
            </w:r>
            <w:r w:rsidR="000677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677D6" w:rsidRPr="000677D6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  <w:r w:rsidR="00067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5A2471" w:rsidRPr="000677D6" w:rsidRDefault="00060114" w:rsidP="00A41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5A2471" w:rsidRPr="00A41474" w:rsidTr="005A2471">
        <w:trPr>
          <w:jc w:val="center"/>
        </w:trPr>
        <w:tc>
          <w:tcPr>
            <w:tcW w:w="7958" w:type="dxa"/>
            <w:gridSpan w:val="2"/>
          </w:tcPr>
          <w:p w:rsidR="005A2471" w:rsidRPr="00A41474" w:rsidRDefault="005A2471" w:rsidP="005A2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86" w:type="dxa"/>
          </w:tcPr>
          <w:p w:rsidR="00A41474" w:rsidRPr="000677D6" w:rsidRDefault="00A41474" w:rsidP="00A41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</w:tbl>
    <w:p w:rsidR="005A2471" w:rsidRPr="00A41474" w:rsidRDefault="005A2471" w:rsidP="0022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474" w:rsidRDefault="00A41474" w:rsidP="002260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6013" w:rsidRPr="00A41474" w:rsidRDefault="00226013" w:rsidP="002260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1474">
        <w:rPr>
          <w:rFonts w:ascii="Times New Roman" w:hAnsi="Times New Roman" w:cs="Times New Roman"/>
          <w:sz w:val="24"/>
          <w:szCs w:val="24"/>
          <w:u w:val="single"/>
        </w:rPr>
        <w:t>DIREITO ADMINISTRATIVO</w:t>
      </w:r>
    </w:p>
    <w:p w:rsidR="00226013" w:rsidRPr="00A41474" w:rsidRDefault="00226013" w:rsidP="0022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4">
        <w:rPr>
          <w:rFonts w:ascii="Times New Roman" w:hAnsi="Times New Roman" w:cs="Times New Roman"/>
          <w:sz w:val="24"/>
          <w:szCs w:val="24"/>
        </w:rPr>
        <w:t>Considere o seguinte caso hipotético:</w:t>
      </w:r>
    </w:p>
    <w:p w:rsidR="00226013" w:rsidRDefault="00226013" w:rsidP="0022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4">
        <w:rPr>
          <w:rFonts w:ascii="Times New Roman" w:hAnsi="Times New Roman" w:cs="Times New Roman"/>
          <w:sz w:val="24"/>
          <w:szCs w:val="24"/>
        </w:rPr>
        <w:t xml:space="preserve">Lívia, candidata à prefeita de determinado município, optou por utilizar em seu material de campanha eleitoral a cor roxa, como marca de sua feminilidade. Exitosa, foi eleita para o referido cargo público. Assim que assumiu sua função pública, Lívia teve a ideia de abrir procedimento licitatório para compra de novas lixeiras, na cor roxa, para colocar em logradouros públicos do município, substituindo os já existente e acrescentando outros em determinados pontos. Antes, porém, solicitou parecer jurídico da Procuradoria Geral do Município. Supondo que você é estagiário da Procuradoria Geral do Município e seu Procurador-Chefe solicita uma minuta do parecer. Questiona-se: </w:t>
      </w:r>
      <w:r w:rsidRPr="00A41474">
        <w:rPr>
          <w:rFonts w:ascii="Times New Roman" w:hAnsi="Times New Roman" w:cs="Times New Roman"/>
          <w:b/>
          <w:sz w:val="24"/>
          <w:szCs w:val="24"/>
        </w:rPr>
        <w:t>(i)</w:t>
      </w:r>
      <w:r w:rsidRPr="00A41474">
        <w:rPr>
          <w:rFonts w:ascii="Times New Roman" w:hAnsi="Times New Roman" w:cs="Times New Roman"/>
          <w:sz w:val="24"/>
          <w:szCs w:val="24"/>
        </w:rPr>
        <w:t xml:space="preserve"> há óbice à pretensão da prefeita? </w:t>
      </w:r>
      <w:r w:rsidRPr="00A4147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41474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A41474">
        <w:rPr>
          <w:rFonts w:ascii="Times New Roman" w:hAnsi="Times New Roman" w:cs="Times New Roman"/>
          <w:b/>
          <w:sz w:val="24"/>
          <w:szCs w:val="24"/>
        </w:rPr>
        <w:t>)</w:t>
      </w:r>
      <w:r w:rsidRPr="00A41474">
        <w:rPr>
          <w:rFonts w:ascii="Times New Roman" w:hAnsi="Times New Roman" w:cs="Times New Roman"/>
          <w:sz w:val="24"/>
          <w:szCs w:val="24"/>
        </w:rPr>
        <w:t xml:space="preserve"> quais fundamentos jurídicos devem embasar o parecer? </w:t>
      </w:r>
      <w:r w:rsidRPr="00A4147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41474">
        <w:rPr>
          <w:rFonts w:ascii="Times New Roman" w:hAnsi="Times New Roman" w:cs="Times New Roman"/>
          <w:b/>
          <w:sz w:val="24"/>
          <w:szCs w:val="24"/>
        </w:rPr>
        <w:t>iii</w:t>
      </w:r>
      <w:proofErr w:type="spellEnd"/>
      <w:r w:rsidRPr="00A41474">
        <w:rPr>
          <w:rFonts w:ascii="Times New Roman" w:hAnsi="Times New Roman" w:cs="Times New Roman"/>
          <w:b/>
          <w:sz w:val="24"/>
          <w:szCs w:val="24"/>
        </w:rPr>
        <w:t>)</w:t>
      </w:r>
      <w:r w:rsidRPr="00A41474">
        <w:rPr>
          <w:rFonts w:ascii="Times New Roman" w:hAnsi="Times New Roman" w:cs="Times New Roman"/>
          <w:sz w:val="24"/>
          <w:szCs w:val="24"/>
        </w:rPr>
        <w:t xml:space="preserve"> cite duas ações cabíveis em caso de violação desses fundamentos jurídicos. Observação: o brasão do município contém as cores branca, azul e amarela. Responda fundamentadamente.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222"/>
        <w:gridCol w:w="1386"/>
      </w:tblGrid>
      <w:tr w:rsidR="00810824" w:rsidRPr="00A41474" w:rsidTr="00394461">
        <w:trPr>
          <w:jc w:val="center"/>
        </w:trPr>
        <w:tc>
          <w:tcPr>
            <w:tcW w:w="9344" w:type="dxa"/>
            <w:gridSpan w:val="3"/>
          </w:tcPr>
          <w:p w:rsidR="00810824" w:rsidRPr="00A41474" w:rsidRDefault="00810824" w:rsidP="00394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GABARITO - ESPELHO DE CORREÇÃO</w:t>
            </w:r>
          </w:p>
        </w:tc>
      </w:tr>
      <w:tr w:rsidR="00810824" w:rsidRPr="00A41474" w:rsidTr="00394461">
        <w:trPr>
          <w:jc w:val="center"/>
        </w:trPr>
        <w:tc>
          <w:tcPr>
            <w:tcW w:w="736" w:type="dxa"/>
          </w:tcPr>
          <w:p w:rsidR="00810824" w:rsidRPr="00A41474" w:rsidRDefault="00810824" w:rsidP="00394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222" w:type="dxa"/>
          </w:tcPr>
          <w:p w:rsidR="00810824" w:rsidRPr="00A41474" w:rsidRDefault="00810824" w:rsidP="00394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Gabarito</w:t>
            </w:r>
          </w:p>
        </w:tc>
        <w:tc>
          <w:tcPr>
            <w:tcW w:w="1386" w:type="dxa"/>
          </w:tcPr>
          <w:p w:rsidR="00810824" w:rsidRPr="00A41474" w:rsidRDefault="00810824" w:rsidP="00394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</w:t>
            </w:r>
          </w:p>
        </w:tc>
      </w:tr>
      <w:tr w:rsidR="00810824" w:rsidRPr="00A41474" w:rsidTr="00394461">
        <w:trPr>
          <w:jc w:val="center"/>
        </w:trPr>
        <w:tc>
          <w:tcPr>
            <w:tcW w:w="736" w:type="dxa"/>
          </w:tcPr>
          <w:p w:rsidR="00810824" w:rsidRPr="00A41474" w:rsidRDefault="00810824" w:rsidP="003944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22" w:type="dxa"/>
          </w:tcPr>
          <w:p w:rsidR="00810824" w:rsidRPr="00A41474" w:rsidRDefault="00810824" w:rsidP="002568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8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77D6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 w:rsidRPr="005F6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386" w:type="dxa"/>
          </w:tcPr>
          <w:p w:rsidR="00810824" w:rsidRPr="000677D6" w:rsidRDefault="00810824" w:rsidP="00394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5684F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810824" w:rsidRPr="00A41474" w:rsidTr="00394461">
        <w:trPr>
          <w:jc w:val="center"/>
        </w:trPr>
        <w:tc>
          <w:tcPr>
            <w:tcW w:w="736" w:type="dxa"/>
          </w:tcPr>
          <w:p w:rsidR="00810824" w:rsidRPr="00A41474" w:rsidRDefault="00810824" w:rsidP="003944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spellEnd"/>
            <w:proofErr w:type="gramEnd"/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22" w:type="dxa"/>
          </w:tcPr>
          <w:p w:rsidR="00810824" w:rsidRPr="00A41474" w:rsidRDefault="0025684F" w:rsidP="003944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F">
              <w:rPr>
                <w:rFonts w:ascii="Times New Roman" w:hAnsi="Times New Roman" w:cs="Times New Roman"/>
                <w:sz w:val="24"/>
                <w:szCs w:val="24"/>
              </w:rPr>
              <w:t>Art. 37, caput e § 1º, Constituição Federal (</w:t>
            </w:r>
            <w:r w:rsidRPr="00FE67B1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  <w:r w:rsidRPr="002568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E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7B1" w:rsidRPr="00FE67B1">
              <w:rPr>
                <w:rFonts w:ascii="Times New Roman" w:hAnsi="Times New Roman" w:cs="Times New Roman"/>
                <w:sz w:val="24"/>
                <w:szCs w:val="24"/>
              </w:rPr>
              <w:t>Violação dos princípios da impessoalidade e da moralidade</w:t>
            </w:r>
            <w:r w:rsidR="00FE67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67B1" w:rsidRPr="00FE67B1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  <w:r w:rsidR="00FE6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67B1" w:rsidRPr="00FE67B1">
              <w:rPr>
                <w:rFonts w:ascii="Times New Roman" w:hAnsi="Times New Roman" w:cs="Times New Roman"/>
                <w:sz w:val="24"/>
                <w:szCs w:val="24"/>
              </w:rPr>
              <w:t>. Abuso de poder por desvio de finalidade do ato administrativo</w:t>
            </w:r>
            <w:r w:rsidR="00FE67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67B1" w:rsidRPr="00FE67B1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  <w:r w:rsidR="00FE6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67B1" w:rsidRPr="00FE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810824" w:rsidRPr="000677D6" w:rsidRDefault="0025684F" w:rsidP="00394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810824" w:rsidRPr="00A41474" w:rsidTr="00394461">
        <w:trPr>
          <w:jc w:val="center"/>
        </w:trPr>
        <w:tc>
          <w:tcPr>
            <w:tcW w:w="736" w:type="dxa"/>
          </w:tcPr>
          <w:p w:rsidR="00810824" w:rsidRPr="00A41474" w:rsidRDefault="00810824" w:rsidP="003944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proofErr w:type="spellEnd"/>
            <w:proofErr w:type="gramEnd"/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366A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222" w:type="dxa"/>
          </w:tcPr>
          <w:p w:rsidR="00810824" w:rsidRPr="00A41474" w:rsidRDefault="00890F62" w:rsidP="001F36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62">
              <w:rPr>
                <w:rFonts w:ascii="Times New Roman" w:hAnsi="Times New Roman" w:cs="Times New Roman"/>
                <w:sz w:val="24"/>
                <w:szCs w:val="24"/>
              </w:rPr>
              <w:t>Improbidade administrativa</w:t>
            </w:r>
            <w:r w:rsidR="001F3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3606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  <w:r w:rsidR="001F3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7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72CE" w:rsidRPr="003C72CE">
              <w:rPr>
                <w:rFonts w:ascii="Times New Roman" w:hAnsi="Times New Roman" w:cs="Times New Roman"/>
                <w:sz w:val="24"/>
                <w:szCs w:val="24"/>
              </w:rPr>
              <w:t>Lei nº 8.429/92, Art. 11</w:t>
            </w:r>
            <w:r w:rsidR="001F3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3606" w:rsidRPr="001F3606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 w:rsidR="001F3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72CE">
              <w:rPr>
                <w:rFonts w:ascii="Times New Roman" w:hAnsi="Times New Roman" w:cs="Times New Roman"/>
                <w:sz w:val="24"/>
                <w:szCs w:val="24"/>
              </w:rPr>
              <w:t>; Ação Popular</w:t>
            </w:r>
            <w:r w:rsidR="001F3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3606" w:rsidRPr="001F3606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  <w:r w:rsidR="001F360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3C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606">
              <w:rPr>
                <w:rFonts w:ascii="Times New Roman" w:hAnsi="Times New Roman" w:cs="Times New Roman"/>
                <w:sz w:val="24"/>
                <w:szCs w:val="24"/>
              </w:rPr>
              <w:t>CRFB, Art. 5º, LXXIII (</w:t>
            </w:r>
            <w:r w:rsidR="001F3606" w:rsidRPr="001F3606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 w:rsidR="001F36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F3606" w:rsidRPr="005E61E3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="001F3606">
              <w:rPr>
                <w:rFonts w:ascii="Times New Roman" w:hAnsi="Times New Roman" w:cs="Times New Roman"/>
                <w:sz w:val="24"/>
                <w:szCs w:val="24"/>
              </w:rPr>
              <w:t xml:space="preserve"> Lei nº 4.717/65, Art. 2º, “e” (</w:t>
            </w:r>
            <w:r w:rsidR="001F3606" w:rsidRPr="001F3606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 w:rsidR="001F3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3606" w:rsidRPr="001F36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F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2CE">
              <w:rPr>
                <w:rFonts w:ascii="Times New Roman" w:hAnsi="Times New Roman" w:cs="Times New Roman"/>
                <w:sz w:val="24"/>
                <w:szCs w:val="24"/>
              </w:rPr>
              <w:t>e Ação Civil P</w:t>
            </w:r>
            <w:r w:rsidR="001F3606">
              <w:rPr>
                <w:rFonts w:ascii="Times New Roman" w:hAnsi="Times New Roman" w:cs="Times New Roman"/>
                <w:sz w:val="24"/>
                <w:szCs w:val="24"/>
              </w:rPr>
              <w:t>ública (</w:t>
            </w:r>
            <w:r w:rsidR="001F3606" w:rsidRPr="001F3606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  <w:r w:rsidR="001F360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90F62">
              <w:rPr>
                <w:rFonts w:ascii="Times New Roman" w:hAnsi="Times New Roman" w:cs="Times New Roman"/>
                <w:sz w:val="24"/>
                <w:szCs w:val="24"/>
              </w:rPr>
              <w:t xml:space="preserve"> Lei nº 7.347/85, Art. 1º, IV e VIII</w:t>
            </w:r>
            <w:r w:rsidR="001F3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3606" w:rsidRPr="001F3606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 w:rsidR="001F3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0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3340FA" w:rsidRDefault="00810824" w:rsidP="00334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 w:rsidR="003340F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3340FA" w:rsidRPr="003340FA" w:rsidRDefault="003340FA" w:rsidP="00334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24" w:rsidRPr="00A41474" w:rsidTr="00394461">
        <w:trPr>
          <w:jc w:val="center"/>
        </w:trPr>
        <w:tc>
          <w:tcPr>
            <w:tcW w:w="7958" w:type="dxa"/>
            <w:gridSpan w:val="2"/>
          </w:tcPr>
          <w:p w:rsidR="00810824" w:rsidRPr="00A41474" w:rsidRDefault="00810824" w:rsidP="00394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86" w:type="dxa"/>
          </w:tcPr>
          <w:p w:rsidR="00810824" w:rsidRPr="000677D6" w:rsidRDefault="00810824" w:rsidP="00394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</w:tbl>
    <w:p w:rsidR="00810824" w:rsidRPr="003340FA" w:rsidRDefault="003340FA" w:rsidP="00334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F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A3">
        <w:rPr>
          <w:rFonts w:ascii="Times New Roman" w:hAnsi="Times New Roman" w:cs="Times New Roman"/>
          <w:b/>
          <w:sz w:val="24"/>
          <w:szCs w:val="24"/>
        </w:rPr>
        <w:t>Atenção!</w:t>
      </w:r>
      <w:r>
        <w:rPr>
          <w:rFonts w:ascii="Times New Roman" w:hAnsi="Times New Roman" w:cs="Times New Roman"/>
          <w:sz w:val="24"/>
          <w:szCs w:val="24"/>
        </w:rPr>
        <w:t xml:space="preserve"> O item </w:t>
      </w:r>
      <w:r w:rsidRPr="00E1277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1277A">
        <w:rPr>
          <w:rFonts w:ascii="Times New Roman" w:hAnsi="Times New Roman" w:cs="Times New Roman"/>
          <w:b/>
          <w:sz w:val="24"/>
          <w:szCs w:val="24"/>
        </w:rPr>
        <w:t>iii</w:t>
      </w:r>
      <w:proofErr w:type="spellEnd"/>
      <w:r w:rsidRPr="00E1277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solicita 2 (duas) ações</w:t>
      </w:r>
      <w:r w:rsidR="00C366A3">
        <w:rPr>
          <w:rFonts w:ascii="Times New Roman" w:hAnsi="Times New Roman" w:cs="Times New Roman"/>
          <w:sz w:val="24"/>
          <w:szCs w:val="24"/>
        </w:rPr>
        <w:t>. Portanto, ainda que o candidato cite 3 (três) ações diversas, a pontuação total do item se limita a 1,2, sendo 0,6 para cada ação, subdividida em 0,4 para o nome da ação e 0,2 para o fundamento jurídico.</w:t>
      </w:r>
    </w:p>
    <w:p w:rsidR="00226013" w:rsidRPr="00A41474" w:rsidRDefault="00226013" w:rsidP="0022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824" w:rsidRDefault="00810824" w:rsidP="002260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226013" w:rsidRPr="00A41474" w:rsidRDefault="00226013" w:rsidP="002260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1474">
        <w:rPr>
          <w:rFonts w:ascii="Times New Roman" w:hAnsi="Times New Roman" w:cs="Times New Roman"/>
          <w:sz w:val="24"/>
          <w:szCs w:val="24"/>
          <w:u w:val="single"/>
        </w:rPr>
        <w:lastRenderedPageBreak/>
        <w:t>DIREITO PROCESSUAL CIVIL</w:t>
      </w:r>
    </w:p>
    <w:p w:rsidR="00226013" w:rsidRPr="00A41474" w:rsidRDefault="00226013" w:rsidP="0022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13" w:rsidRPr="00A41474" w:rsidRDefault="00226013" w:rsidP="0022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4">
        <w:rPr>
          <w:rFonts w:ascii="Times New Roman" w:hAnsi="Times New Roman" w:cs="Times New Roman"/>
          <w:sz w:val="24"/>
          <w:szCs w:val="24"/>
        </w:rPr>
        <w:t>Considere o seguinte caso hipotético:</w:t>
      </w:r>
    </w:p>
    <w:p w:rsidR="00226013" w:rsidRPr="00A41474" w:rsidRDefault="00226013" w:rsidP="0022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4">
        <w:rPr>
          <w:rFonts w:ascii="Times New Roman" w:hAnsi="Times New Roman" w:cs="Times New Roman"/>
          <w:sz w:val="24"/>
          <w:szCs w:val="24"/>
        </w:rPr>
        <w:t xml:space="preserve">A Empresa Municipal de Limpeza Urbana efetuava limpeza e desobstrução de bueiro na Rua </w:t>
      </w:r>
      <w:proofErr w:type="spellStart"/>
      <w:r w:rsidRPr="00A41474">
        <w:rPr>
          <w:rFonts w:ascii="Times New Roman" w:hAnsi="Times New Roman" w:cs="Times New Roman"/>
          <w:sz w:val="24"/>
          <w:szCs w:val="24"/>
        </w:rPr>
        <w:t>Athaíde</w:t>
      </w:r>
      <w:proofErr w:type="spellEnd"/>
      <w:r w:rsidRPr="00A41474">
        <w:rPr>
          <w:rFonts w:ascii="Times New Roman" w:hAnsi="Times New Roman" w:cs="Times New Roman"/>
          <w:sz w:val="24"/>
          <w:szCs w:val="24"/>
        </w:rPr>
        <w:t xml:space="preserve"> Pimenta de Moraes, Centro, Nova Iguaçu/RJ, em domingo. </w:t>
      </w:r>
      <w:proofErr w:type="spellStart"/>
      <w:r w:rsidRPr="00A41474">
        <w:rPr>
          <w:rFonts w:ascii="Times New Roman" w:hAnsi="Times New Roman" w:cs="Times New Roman"/>
          <w:sz w:val="24"/>
          <w:szCs w:val="24"/>
        </w:rPr>
        <w:t>Josevaldo</w:t>
      </w:r>
      <w:proofErr w:type="spellEnd"/>
      <w:r w:rsidRPr="00A41474">
        <w:rPr>
          <w:rFonts w:ascii="Times New Roman" w:hAnsi="Times New Roman" w:cs="Times New Roman"/>
          <w:sz w:val="24"/>
          <w:szCs w:val="24"/>
        </w:rPr>
        <w:t xml:space="preserve">, transeunte, caminhava enquanto falava ao telefone. Distraído, o pedestre caiu no aludido bueiro, o que resultou em fratura do osso fêmur de uma de suas pernas. Prontamente, os agentes da referida empresa pública acionaram a ambulância, que levou cerca de dez minutos para chegar ao local. </w:t>
      </w:r>
      <w:proofErr w:type="spellStart"/>
      <w:r w:rsidRPr="00A41474">
        <w:rPr>
          <w:rFonts w:ascii="Times New Roman" w:hAnsi="Times New Roman" w:cs="Times New Roman"/>
          <w:sz w:val="24"/>
          <w:szCs w:val="24"/>
        </w:rPr>
        <w:t>Josevaldo</w:t>
      </w:r>
      <w:proofErr w:type="spellEnd"/>
      <w:r w:rsidRPr="00A41474">
        <w:rPr>
          <w:rFonts w:ascii="Times New Roman" w:hAnsi="Times New Roman" w:cs="Times New Roman"/>
          <w:sz w:val="24"/>
          <w:szCs w:val="24"/>
        </w:rPr>
        <w:t xml:space="preserve"> moveu ação judicial em face do Município de Nova Iguaçu, requerendo reparação de todos danos sofridos. Sustenta em sua peça vestibular que o local não estava devidamente sinalizado e junta documentos que comprovam esta alegação. O Município de Nova Iguaçu é citado. Supondo que você é estagiário da Procuradoria Geral do Município e seu Procurador-Chefe solicita uma minuta. Questiona-se: </w:t>
      </w:r>
      <w:r w:rsidRPr="00A41474">
        <w:rPr>
          <w:rFonts w:ascii="Times New Roman" w:hAnsi="Times New Roman" w:cs="Times New Roman"/>
          <w:b/>
          <w:sz w:val="24"/>
          <w:szCs w:val="24"/>
        </w:rPr>
        <w:t>(i)</w:t>
      </w:r>
      <w:r w:rsidRPr="00A41474">
        <w:rPr>
          <w:rFonts w:ascii="Times New Roman" w:hAnsi="Times New Roman" w:cs="Times New Roman"/>
          <w:sz w:val="24"/>
          <w:szCs w:val="24"/>
        </w:rPr>
        <w:t xml:space="preserve"> qual a peça processual a ser elaborada? </w:t>
      </w:r>
      <w:r w:rsidRPr="00A4147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41474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A41474">
        <w:rPr>
          <w:rFonts w:ascii="Times New Roman" w:hAnsi="Times New Roman" w:cs="Times New Roman"/>
          <w:b/>
          <w:sz w:val="24"/>
          <w:szCs w:val="24"/>
        </w:rPr>
        <w:t>)</w:t>
      </w:r>
      <w:r w:rsidRPr="00A41474">
        <w:rPr>
          <w:rFonts w:ascii="Times New Roman" w:hAnsi="Times New Roman" w:cs="Times New Roman"/>
          <w:sz w:val="24"/>
          <w:szCs w:val="24"/>
        </w:rPr>
        <w:t xml:space="preserve"> qual é o prazo para apresentá-la? </w:t>
      </w:r>
      <w:r w:rsidRPr="00A4147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41474">
        <w:rPr>
          <w:rFonts w:ascii="Times New Roman" w:hAnsi="Times New Roman" w:cs="Times New Roman"/>
          <w:b/>
          <w:sz w:val="24"/>
          <w:szCs w:val="24"/>
        </w:rPr>
        <w:t>iii</w:t>
      </w:r>
      <w:proofErr w:type="spellEnd"/>
      <w:r w:rsidRPr="00A41474">
        <w:rPr>
          <w:rFonts w:ascii="Times New Roman" w:hAnsi="Times New Roman" w:cs="Times New Roman"/>
          <w:b/>
          <w:sz w:val="24"/>
          <w:szCs w:val="24"/>
        </w:rPr>
        <w:t>)</w:t>
      </w:r>
      <w:r w:rsidRPr="00A41474">
        <w:rPr>
          <w:rFonts w:ascii="Times New Roman" w:hAnsi="Times New Roman" w:cs="Times New Roman"/>
          <w:sz w:val="24"/>
          <w:szCs w:val="24"/>
        </w:rPr>
        <w:t xml:space="preserve"> há preliminar de mérito? Responda justificadamente.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222"/>
        <w:gridCol w:w="1386"/>
      </w:tblGrid>
      <w:tr w:rsidR="00672682" w:rsidRPr="00A41474" w:rsidTr="00394461">
        <w:trPr>
          <w:jc w:val="center"/>
        </w:trPr>
        <w:tc>
          <w:tcPr>
            <w:tcW w:w="9344" w:type="dxa"/>
            <w:gridSpan w:val="3"/>
          </w:tcPr>
          <w:p w:rsidR="00672682" w:rsidRPr="00A41474" w:rsidRDefault="00672682" w:rsidP="00394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GABARITO - ESPELHO DE CORREÇÃO</w:t>
            </w:r>
          </w:p>
        </w:tc>
      </w:tr>
      <w:tr w:rsidR="00672682" w:rsidRPr="00A41474" w:rsidTr="00394461">
        <w:trPr>
          <w:jc w:val="center"/>
        </w:trPr>
        <w:tc>
          <w:tcPr>
            <w:tcW w:w="736" w:type="dxa"/>
          </w:tcPr>
          <w:p w:rsidR="00672682" w:rsidRPr="00A41474" w:rsidRDefault="00672682" w:rsidP="00394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222" w:type="dxa"/>
          </w:tcPr>
          <w:p w:rsidR="00672682" w:rsidRPr="00A41474" w:rsidRDefault="00672682" w:rsidP="00394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Gabarito</w:t>
            </w:r>
          </w:p>
        </w:tc>
        <w:tc>
          <w:tcPr>
            <w:tcW w:w="1386" w:type="dxa"/>
          </w:tcPr>
          <w:p w:rsidR="00672682" w:rsidRPr="00A41474" w:rsidRDefault="00672682" w:rsidP="00394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</w:t>
            </w:r>
          </w:p>
        </w:tc>
      </w:tr>
      <w:tr w:rsidR="00672682" w:rsidRPr="00A41474" w:rsidTr="00394461">
        <w:trPr>
          <w:jc w:val="center"/>
        </w:trPr>
        <w:tc>
          <w:tcPr>
            <w:tcW w:w="736" w:type="dxa"/>
          </w:tcPr>
          <w:p w:rsidR="00672682" w:rsidRPr="00A41474" w:rsidRDefault="00672682" w:rsidP="003944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22" w:type="dxa"/>
          </w:tcPr>
          <w:p w:rsidR="00672682" w:rsidRPr="00A41474" w:rsidRDefault="000749CD" w:rsidP="003944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Contestação</w:t>
            </w:r>
            <w:r w:rsidR="0067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682" w:rsidRPr="005F68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6424" w:rsidRPr="008C6424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64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72682" w:rsidRPr="005F6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26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C6424" w:rsidRPr="008C6424">
              <w:rPr>
                <w:rFonts w:ascii="Times New Roman" w:hAnsi="Times New Roman" w:cs="Times New Roman"/>
                <w:sz w:val="24"/>
                <w:szCs w:val="24"/>
              </w:rPr>
              <w:t>Art. 335 e seguintes do CPC</w:t>
            </w:r>
            <w:r w:rsidR="008C64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6424" w:rsidRPr="008C6424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  <w:r w:rsidR="008C64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6" w:type="dxa"/>
          </w:tcPr>
          <w:p w:rsidR="00672682" w:rsidRPr="000677D6" w:rsidRDefault="000749CD" w:rsidP="00394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672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72682" w:rsidRPr="00A41474" w:rsidTr="00394461">
        <w:trPr>
          <w:jc w:val="center"/>
        </w:trPr>
        <w:tc>
          <w:tcPr>
            <w:tcW w:w="736" w:type="dxa"/>
          </w:tcPr>
          <w:p w:rsidR="00672682" w:rsidRPr="00A41474" w:rsidRDefault="00672682" w:rsidP="003944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spellEnd"/>
            <w:proofErr w:type="gramEnd"/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22" w:type="dxa"/>
          </w:tcPr>
          <w:p w:rsidR="00672682" w:rsidRPr="00A41474" w:rsidRDefault="00531AE5" w:rsidP="003944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(trinta)</w:t>
            </w:r>
            <w:r w:rsidRPr="00531AE5">
              <w:rPr>
                <w:rFonts w:ascii="Times New Roman" w:hAnsi="Times New Roman" w:cs="Times New Roman"/>
                <w:sz w:val="24"/>
                <w:szCs w:val="24"/>
              </w:rPr>
              <w:t xml:space="preserve"> dias úteis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1AE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CE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68F" w:rsidRPr="00CE268F">
              <w:rPr>
                <w:rFonts w:ascii="Times New Roman" w:hAnsi="Times New Roman" w:cs="Times New Roman"/>
                <w:sz w:val="24"/>
                <w:szCs w:val="24"/>
              </w:rPr>
              <w:t>Art. 335 c/c 183, CPC</w:t>
            </w:r>
            <w:r w:rsidR="00CE26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268F" w:rsidRPr="00CE268F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  <w:r w:rsidR="00CE26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</w:tcPr>
          <w:p w:rsidR="00672682" w:rsidRPr="000677D6" w:rsidRDefault="00531AE5" w:rsidP="00394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672682" w:rsidRPr="00A41474" w:rsidTr="00394461">
        <w:trPr>
          <w:jc w:val="center"/>
        </w:trPr>
        <w:tc>
          <w:tcPr>
            <w:tcW w:w="736" w:type="dxa"/>
          </w:tcPr>
          <w:p w:rsidR="00672682" w:rsidRPr="00A41474" w:rsidRDefault="00672682" w:rsidP="003944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proofErr w:type="spellEnd"/>
            <w:proofErr w:type="gramEnd"/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22" w:type="dxa"/>
          </w:tcPr>
          <w:p w:rsidR="00672682" w:rsidRPr="00A41474" w:rsidRDefault="00CE268F" w:rsidP="003944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F">
              <w:rPr>
                <w:rFonts w:ascii="Times New Roman" w:hAnsi="Times New Roman" w:cs="Times New Roman"/>
                <w:sz w:val="24"/>
                <w:szCs w:val="24"/>
              </w:rPr>
              <w:t xml:space="preserve">Ilegitimidade </w:t>
            </w:r>
            <w:r w:rsidRPr="00CE268F">
              <w:rPr>
                <w:rFonts w:ascii="Times New Roman" w:hAnsi="Times New Roman" w:cs="Times New Roman"/>
                <w:i/>
                <w:sz w:val="24"/>
                <w:szCs w:val="24"/>
              </w:rPr>
              <w:t>ad causam</w:t>
            </w:r>
            <w:r w:rsidRPr="00CE268F">
              <w:rPr>
                <w:rFonts w:ascii="Times New Roman" w:hAnsi="Times New Roman" w:cs="Times New Roman"/>
                <w:sz w:val="24"/>
                <w:szCs w:val="24"/>
              </w:rPr>
              <w:t xml:space="preserve"> passiva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E268F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CE268F">
              <w:rPr>
                <w:rFonts w:ascii="Times New Roman" w:hAnsi="Times New Roman" w:cs="Times New Roman"/>
                <w:sz w:val="24"/>
                <w:szCs w:val="24"/>
              </w:rPr>
              <w:t>Art. 337, XI, CPC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E268F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6" w:type="dxa"/>
          </w:tcPr>
          <w:p w:rsidR="00672682" w:rsidRPr="003340FA" w:rsidRDefault="00531AE5" w:rsidP="00672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672682" w:rsidRPr="00A41474" w:rsidTr="00394461">
        <w:trPr>
          <w:jc w:val="center"/>
        </w:trPr>
        <w:tc>
          <w:tcPr>
            <w:tcW w:w="7958" w:type="dxa"/>
            <w:gridSpan w:val="2"/>
          </w:tcPr>
          <w:p w:rsidR="00672682" w:rsidRPr="00A41474" w:rsidRDefault="00672682" w:rsidP="00394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7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86" w:type="dxa"/>
          </w:tcPr>
          <w:p w:rsidR="00672682" w:rsidRPr="000677D6" w:rsidRDefault="00672682" w:rsidP="003944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677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226013" w:rsidRPr="00A41474" w:rsidRDefault="00226013" w:rsidP="0022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37" w:rsidRPr="00A41474" w:rsidRDefault="00234E40" w:rsidP="0022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4">
        <w:rPr>
          <w:rFonts w:ascii="Times New Roman" w:hAnsi="Times New Roman" w:cs="Times New Roman"/>
          <w:sz w:val="24"/>
          <w:szCs w:val="24"/>
        </w:rPr>
        <w:t xml:space="preserve"> </w:t>
      </w:r>
      <w:r w:rsidR="00AF3978" w:rsidRPr="00A41474">
        <w:rPr>
          <w:rFonts w:ascii="Times New Roman" w:hAnsi="Times New Roman" w:cs="Times New Roman"/>
          <w:sz w:val="24"/>
          <w:szCs w:val="24"/>
        </w:rPr>
        <w:t xml:space="preserve"> </w:t>
      </w:r>
      <w:r w:rsidR="001441D4" w:rsidRPr="00A4147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7937" w:rsidRPr="00A41474" w:rsidSect="00DC16CF">
      <w:headerReference w:type="default" r:id="rId8"/>
      <w:footerReference w:type="default" r:id="rId9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CA" w:rsidRDefault="007410CA" w:rsidP="00DC16CF">
      <w:pPr>
        <w:spacing w:after="0" w:line="240" w:lineRule="auto"/>
      </w:pPr>
      <w:r>
        <w:separator/>
      </w:r>
    </w:p>
  </w:endnote>
  <w:endnote w:type="continuationSeparator" w:id="0">
    <w:p w:rsidR="007410CA" w:rsidRDefault="007410CA" w:rsidP="00D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CF" w:rsidRPr="00B6046F" w:rsidRDefault="00DC16CF" w:rsidP="00DC16CF">
    <w:pPr>
      <w:pStyle w:val="Rodap"/>
      <w:tabs>
        <w:tab w:val="clear" w:pos="4252"/>
        <w:tab w:val="clear" w:pos="8504"/>
        <w:tab w:val="left" w:pos="6585"/>
      </w:tabs>
      <w:rPr>
        <w:rFonts w:ascii="Garamond" w:hAnsi="Garamond"/>
        <w:b/>
        <w:color w:val="323E4F" w:themeColor="text2" w:themeShade="BF"/>
      </w:rPr>
    </w:pPr>
    <w:r w:rsidRPr="00B6046F">
      <w:rPr>
        <w:rFonts w:ascii="Garamond" w:hAnsi="Garamond"/>
        <w:b/>
        <w:noProof/>
        <w:color w:val="323E4F" w:themeColor="text2" w:themeShade="BF"/>
        <w:lang w:eastAsia="pt-BR"/>
      </w:rPr>
      <w:drawing>
        <wp:anchor distT="0" distB="0" distL="114300" distR="114300" simplePos="0" relativeHeight="251661312" behindDoc="1" locked="0" layoutInCell="1" allowOverlap="1" wp14:anchorId="5BC799A4" wp14:editId="135DFE73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2911604" cy="544010"/>
          <wp:effectExtent l="0" t="0" r="3175" b="889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604" cy="54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46F">
      <w:rPr>
        <w:rFonts w:ascii="Garamond" w:hAnsi="Garamond"/>
        <w:b/>
        <w:color w:val="323E4F" w:themeColor="text2" w:themeShade="BF"/>
      </w:rPr>
      <w:t>Centro de Estudos Jurídicos</w:t>
    </w:r>
  </w:p>
  <w:p w:rsidR="00DC16CF" w:rsidRDefault="00DC16CF" w:rsidP="00DC16CF">
    <w:pPr>
      <w:pStyle w:val="Rodap"/>
      <w:tabs>
        <w:tab w:val="clear" w:pos="4252"/>
        <w:tab w:val="clear" w:pos="8504"/>
        <w:tab w:val="left" w:pos="6585"/>
      </w:tabs>
    </w:pPr>
    <w:r w:rsidRPr="00B6046F">
      <w:rPr>
        <w:rFonts w:ascii="Garamond" w:hAnsi="Garamond"/>
        <w:b/>
        <w:color w:val="323E4F" w:themeColor="text2" w:themeShade="BF"/>
      </w:rPr>
      <w:t>CEJUR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CA" w:rsidRDefault="007410CA" w:rsidP="00DC16CF">
      <w:pPr>
        <w:spacing w:after="0" w:line="240" w:lineRule="auto"/>
      </w:pPr>
      <w:r>
        <w:separator/>
      </w:r>
    </w:p>
  </w:footnote>
  <w:footnote w:type="continuationSeparator" w:id="0">
    <w:p w:rsidR="007410CA" w:rsidRDefault="007410CA" w:rsidP="00DC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CF" w:rsidRDefault="00DC16CF" w:rsidP="00DC16CF">
    <w:pPr>
      <w:pStyle w:val="Cabealho"/>
      <w:jc w:val="both"/>
      <w:rPr>
        <w:rFonts w:ascii="Garamond" w:hAnsi="Garamond"/>
      </w:rPr>
    </w:pPr>
    <w:r w:rsidRPr="003A2328">
      <w:rPr>
        <w:rFonts w:ascii="Garamond" w:hAnsi="Garamond"/>
        <w:noProof/>
        <w:lang w:eastAsia="pt-BR"/>
      </w:rPr>
      <w:drawing>
        <wp:anchor distT="0" distB="0" distL="114300" distR="114300" simplePos="0" relativeHeight="251659264" behindDoc="1" locked="0" layoutInCell="1" allowOverlap="1" wp14:anchorId="154CB213" wp14:editId="3A583C00">
          <wp:simplePos x="0" y="0"/>
          <wp:positionH relativeFrom="page">
            <wp:align>center</wp:align>
          </wp:positionH>
          <wp:positionV relativeFrom="paragraph">
            <wp:posOffset>-475615</wp:posOffset>
          </wp:positionV>
          <wp:extent cx="2964693" cy="1097104"/>
          <wp:effectExtent l="0" t="0" r="7620" b="825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693" cy="1097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46F" w:rsidRDefault="00B6046F" w:rsidP="00DC16CF">
    <w:pPr>
      <w:pStyle w:val="Cabealho"/>
      <w:jc w:val="right"/>
      <w:rPr>
        <w:rFonts w:ascii="Garamond" w:hAnsi="Garamond"/>
        <w:b/>
      </w:rPr>
    </w:pPr>
  </w:p>
  <w:p w:rsidR="00B6046F" w:rsidRPr="00DC16CF" w:rsidRDefault="00B6046F" w:rsidP="00DC16CF">
    <w:pPr>
      <w:pStyle w:val="Cabealho"/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77E3"/>
    <w:multiLevelType w:val="hybridMultilevel"/>
    <w:tmpl w:val="23165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752D2"/>
    <w:multiLevelType w:val="hybridMultilevel"/>
    <w:tmpl w:val="88326DCE"/>
    <w:lvl w:ilvl="0" w:tplc="280E14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455CA"/>
    <w:multiLevelType w:val="hybridMultilevel"/>
    <w:tmpl w:val="2356FEE2"/>
    <w:lvl w:ilvl="0" w:tplc="178CBD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A6EA5"/>
    <w:multiLevelType w:val="hybridMultilevel"/>
    <w:tmpl w:val="17DA5050"/>
    <w:lvl w:ilvl="0" w:tplc="8B8852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CF"/>
    <w:rsid w:val="000031BE"/>
    <w:rsid w:val="00003E3A"/>
    <w:rsid w:val="00013018"/>
    <w:rsid w:val="000132B8"/>
    <w:rsid w:val="000134A4"/>
    <w:rsid w:val="000172B2"/>
    <w:rsid w:val="000238C5"/>
    <w:rsid w:val="00025E62"/>
    <w:rsid w:val="00036E07"/>
    <w:rsid w:val="000376AC"/>
    <w:rsid w:val="000455A8"/>
    <w:rsid w:val="00047FB1"/>
    <w:rsid w:val="00051288"/>
    <w:rsid w:val="00057283"/>
    <w:rsid w:val="00060114"/>
    <w:rsid w:val="00065AA4"/>
    <w:rsid w:val="000677D6"/>
    <w:rsid w:val="000749CD"/>
    <w:rsid w:val="00080910"/>
    <w:rsid w:val="00080D83"/>
    <w:rsid w:val="00082713"/>
    <w:rsid w:val="00084198"/>
    <w:rsid w:val="000A23CD"/>
    <w:rsid w:val="000A500C"/>
    <w:rsid w:val="000B0A55"/>
    <w:rsid w:val="000B2DDF"/>
    <w:rsid w:val="000B663B"/>
    <w:rsid w:val="000D1AA8"/>
    <w:rsid w:val="000D39C5"/>
    <w:rsid w:val="000E4590"/>
    <w:rsid w:val="000F0C07"/>
    <w:rsid w:val="000F291A"/>
    <w:rsid w:val="000F7427"/>
    <w:rsid w:val="00114C83"/>
    <w:rsid w:val="00116C8E"/>
    <w:rsid w:val="00140FB7"/>
    <w:rsid w:val="001441D4"/>
    <w:rsid w:val="00152D1F"/>
    <w:rsid w:val="00175D15"/>
    <w:rsid w:val="00176FE3"/>
    <w:rsid w:val="00177D73"/>
    <w:rsid w:val="00187F81"/>
    <w:rsid w:val="001A3E83"/>
    <w:rsid w:val="001A7132"/>
    <w:rsid w:val="001B4F1A"/>
    <w:rsid w:val="001D3F4C"/>
    <w:rsid w:val="001D4525"/>
    <w:rsid w:val="001E3F10"/>
    <w:rsid w:val="001F3606"/>
    <w:rsid w:val="00200D0C"/>
    <w:rsid w:val="002172D1"/>
    <w:rsid w:val="00226013"/>
    <w:rsid w:val="00230092"/>
    <w:rsid w:val="002321CB"/>
    <w:rsid w:val="00234E40"/>
    <w:rsid w:val="00240AE4"/>
    <w:rsid w:val="00246D4C"/>
    <w:rsid w:val="00251773"/>
    <w:rsid w:val="0025684F"/>
    <w:rsid w:val="00270DB2"/>
    <w:rsid w:val="0027180D"/>
    <w:rsid w:val="0028003C"/>
    <w:rsid w:val="00292DF7"/>
    <w:rsid w:val="002A3895"/>
    <w:rsid w:val="002A46EF"/>
    <w:rsid w:val="002C33E9"/>
    <w:rsid w:val="002C4E20"/>
    <w:rsid w:val="002C5003"/>
    <w:rsid w:val="002D5EEE"/>
    <w:rsid w:val="002D638B"/>
    <w:rsid w:val="002E4B08"/>
    <w:rsid w:val="002F52F7"/>
    <w:rsid w:val="003340FA"/>
    <w:rsid w:val="00334E81"/>
    <w:rsid w:val="00341452"/>
    <w:rsid w:val="00343F3F"/>
    <w:rsid w:val="00350D16"/>
    <w:rsid w:val="003524FB"/>
    <w:rsid w:val="00360AEC"/>
    <w:rsid w:val="00372AD2"/>
    <w:rsid w:val="003734F8"/>
    <w:rsid w:val="00373953"/>
    <w:rsid w:val="00382F6D"/>
    <w:rsid w:val="00386034"/>
    <w:rsid w:val="00396DA2"/>
    <w:rsid w:val="003974E6"/>
    <w:rsid w:val="003A4D41"/>
    <w:rsid w:val="003B187E"/>
    <w:rsid w:val="003B1A2E"/>
    <w:rsid w:val="003C051C"/>
    <w:rsid w:val="003C72CE"/>
    <w:rsid w:val="003D373F"/>
    <w:rsid w:val="003D4231"/>
    <w:rsid w:val="003F32E2"/>
    <w:rsid w:val="003F5101"/>
    <w:rsid w:val="00403D45"/>
    <w:rsid w:val="00410B8A"/>
    <w:rsid w:val="0041520A"/>
    <w:rsid w:val="00432A21"/>
    <w:rsid w:val="0044127B"/>
    <w:rsid w:val="00445031"/>
    <w:rsid w:val="00445961"/>
    <w:rsid w:val="00450D50"/>
    <w:rsid w:val="00457479"/>
    <w:rsid w:val="00457DEF"/>
    <w:rsid w:val="0046275E"/>
    <w:rsid w:val="004815F6"/>
    <w:rsid w:val="0048716B"/>
    <w:rsid w:val="00496E91"/>
    <w:rsid w:val="004A3BCF"/>
    <w:rsid w:val="004A6E9F"/>
    <w:rsid w:val="004C2686"/>
    <w:rsid w:val="004C4A58"/>
    <w:rsid w:val="004D60FC"/>
    <w:rsid w:val="004E4141"/>
    <w:rsid w:val="0050393E"/>
    <w:rsid w:val="0051363E"/>
    <w:rsid w:val="005149DA"/>
    <w:rsid w:val="00531AE5"/>
    <w:rsid w:val="00535691"/>
    <w:rsid w:val="005379C8"/>
    <w:rsid w:val="005412A2"/>
    <w:rsid w:val="00570AF2"/>
    <w:rsid w:val="00573FFC"/>
    <w:rsid w:val="00576A7B"/>
    <w:rsid w:val="00584F78"/>
    <w:rsid w:val="005909BD"/>
    <w:rsid w:val="00590C0E"/>
    <w:rsid w:val="00590DD8"/>
    <w:rsid w:val="00591073"/>
    <w:rsid w:val="00596041"/>
    <w:rsid w:val="005972CB"/>
    <w:rsid w:val="00597ABC"/>
    <w:rsid w:val="005A0F4E"/>
    <w:rsid w:val="005A2471"/>
    <w:rsid w:val="005C3A40"/>
    <w:rsid w:val="005C6892"/>
    <w:rsid w:val="005D10E7"/>
    <w:rsid w:val="005D3CA5"/>
    <w:rsid w:val="005D65AD"/>
    <w:rsid w:val="005D6D14"/>
    <w:rsid w:val="005E61E3"/>
    <w:rsid w:val="005F2D21"/>
    <w:rsid w:val="005F64E0"/>
    <w:rsid w:val="005F6823"/>
    <w:rsid w:val="00601575"/>
    <w:rsid w:val="0060431D"/>
    <w:rsid w:val="006064E2"/>
    <w:rsid w:val="00610E4F"/>
    <w:rsid w:val="00623271"/>
    <w:rsid w:val="00627C29"/>
    <w:rsid w:val="00635D13"/>
    <w:rsid w:val="00642F4F"/>
    <w:rsid w:val="006466A8"/>
    <w:rsid w:val="00654ED9"/>
    <w:rsid w:val="00656067"/>
    <w:rsid w:val="00666A06"/>
    <w:rsid w:val="00672682"/>
    <w:rsid w:val="0068093F"/>
    <w:rsid w:val="006964E9"/>
    <w:rsid w:val="006C1501"/>
    <w:rsid w:val="006E08B4"/>
    <w:rsid w:val="006E4334"/>
    <w:rsid w:val="006E773B"/>
    <w:rsid w:val="006F307C"/>
    <w:rsid w:val="007029E5"/>
    <w:rsid w:val="00706978"/>
    <w:rsid w:val="0071553D"/>
    <w:rsid w:val="007208C9"/>
    <w:rsid w:val="0072217B"/>
    <w:rsid w:val="007410CA"/>
    <w:rsid w:val="007415BA"/>
    <w:rsid w:val="007451B1"/>
    <w:rsid w:val="00751FE7"/>
    <w:rsid w:val="00770225"/>
    <w:rsid w:val="00783A6A"/>
    <w:rsid w:val="00784C4B"/>
    <w:rsid w:val="00794FB8"/>
    <w:rsid w:val="007B16DA"/>
    <w:rsid w:val="007C016B"/>
    <w:rsid w:val="007C6668"/>
    <w:rsid w:val="007D4174"/>
    <w:rsid w:val="007E11CA"/>
    <w:rsid w:val="008014AA"/>
    <w:rsid w:val="00802D8E"/>
    <w:rsid w:val="00810824"/>
    <w:rsid w:val="00815A5F"/>
    <w:rsid w:val="0082295D"/>
    <w:rsid w:val="00834F24"/>
    <w:rsid w:val="0083597C"/>
    <w:rsid w:val="00847447"/>
    <w:rsid w:val="00847E86"/>
    <w:rsid w:val="0086003C"/>
    <w:rsid w:val="00863904"/>
    <w:rsid w:val="00865019"/>
    <w:rsid w:val="0088327E"/>
    <w:rsid w:val="00887346"/>
    <w:rsid w:val="00890F62"/>
    <w:rsid w:val="00896A21"/>
    <w:rsid w:val="008A030A"/>
    <w:rsid w:val="008B7230"/>
    <w:rsid w:val="008C1749"/>
    <w:rsid w:val="008C6424"/>
    <w:rsid w:val="008D4C79"/>
    <w:rsid w:val="00903AD0"/>
    <w:rsid w:val="009148E5"/>
    <w:rsid w:val="00932781"/>
    <w:rsid w:val="0094584A"/>
    <w:rsid w:val="00945F34"/>
    <w:rsid w:val="00952B01"/>
    <w:rsid w:val="009571EB"/>
    <w:rsid w:val="00957C07"/>
    <w:rsid w:val="0098022C"/>
    <w:rsid w:val="0098748D"/>
    <w:rsid w:val="00991E45"/>
    <w:rsid w:val="009A0879"/>
    <w:rsid w:val="009B0180"/>
    <w:rsid w:val="009C701D"/>
    <w:rsid w:val="009D5C98"/>
    <w:rsid w:val="009E24C1"/>
    <w:rsid w:val="009F294A"/>
    <w:rsid w:val="00A21C3F"/>
    <w:rsid w:val="00A33823"/>
    <w:rsid w:val="00A34E36"/>
    <w:rsid w:val="00A41474"/>
    <w:rsid w:val="00A42BF0"/>
    <w:rsid w:val="00A53759"/>
    <w:rsid w:val="00A5527A"/>
    <w:rsid w:val="00A61722"/>
    <w:rsid w:val="00A646CF"/>
    <w:rsid w:val="00A75231"/>
    <w:rsid w:val="00A760CE"/>
    <w:rsid w:val="00A86895"/>
    <w:rsid w:val="00A90D07"/>
    <w:rsid w:val="00AA4443"/>
    <w:rsid w:val="00AB00CF"/>
    <w:rsid w:val="00AB3287"/>
    <w:rsid w:val="00AD7CD0"/>
    <w:rsid w:val="00AE3E47"/>
    <w:rsid w:val="00AF3978"/>
    <w:rsid w:val="00AF7138"/>
    <w:rsid w:val="00AF7AFF"/>
    <w:rsid w:val="00B02382"/>
    <w:rsid w:val="00B26636"/>
    <w:rsid w:val="00B31EE9"/>
    <w:rsid w:val="00B36CC1"/>
    <w:rsid w:val="00B4125C"/>
    <w:rsid w:val="00B44B3A"/>
    <w:rsid w:val="00B6046F"/>
    <w:rsid w:val="00B62C70"/>
    <w:rsid w:val="00B700CC"/>
    <w:rsid w:val="00B72330"/>
    <w:rsid w:val="00B77C63"/>
    <w:rsid w:val="00B8559D"/>
    <w:rsid w:val="00B95E4F"/>
    <w:rsid w:val="00BA430E"/>
    <w:rsid w:val="00BA4DA2"/>
    <w:rsid w:val="00BB4285"/>
    <w:rsid w:val="00BB5F7E"/>
    <w:rsid w:val="00BE0321"/>
    <w:rsid w:val="00BE37C0"/>
    <w:rsid w:val="00BE528A"/>
    <w:rsid w:val="00BE569E"/>
    <w:rsid w:val="00BE6EC7"/>
    <w:rsid w:val="00BF0FAB"/>
    <w:rsid w:val="00BF5166"/>
    <w:rsid w:val="00C00428"/>
    <w:rsid w:val="00C0219E"/>
    <w:rsid w:val="00C06132"/>
    <w:rsid w:val="00C24A66"/>
    <w:rsid w:val="00C366A3"/>
    <w:rsid w:val="00C4385A"/>
    <w:rsid w:val="00C47283"/>
    <w:rsid w:val="00C5073E"/>
    <w:rsid w:val="00C50CD2"/>
    <w:rsid w:val="00C545FB"/>
    <w:rsid w:val="00C6143D"/>
    <w:rsid w:val="00C7532D"/>
    <w:rsid w:val="00C91A9E"/>
    <w:rsid w:val="00CC2CBA"/>
    <w:rsid w:val="00CC46AC"/>
    <w:rsid w:val="00CC4DAB"/>
    <w:rsid w:val="00CD0F79"/>
    <w:rsid w:val="00CD1010"/>
    <w:rsid w:val="00CD44B2"/>
    <w:rsid w:val="00CD7FC9"/>
    <w:rsid w:val="00CE0F44"/>
    <w:rsid w:val="00CE268F"/>
    <w:rsid w:val="00CE4322"/>
    <w:rsid w:val="00CF3AF0"/>
    <w:rsid w:val="00CF4B97"/>
    <w:rsid w:val="00D062F4"/>
    <w:rsid w:val="00D07D67"/>
    <w:rsid w:val="00D21160"/>
    <w:rsid w:val="00D71BD9"/>
    <w:rsid w:val="00D725F9"/>
    <w:rsid w:val="00DA0CF8"/>
    <w:rsid w:val="00DA0F76"/>
    <w:rsid w:val="00DB342A"/>
    <w:rsid w:val="00DB56B2"/>
    <w:rsid w:val="00DB59A7"/>
    <w:rsid w:val="00DC16CF"/>
    <w:rsid w:val="00DD5BF5"/>
    <w:rsid w:val="00DE4D8B"/>
    <w:rsid w:val="00DF1FD2"/>
    <w:rsid w:val="00DF659A"/>
    <w:rsid w:val="00E1277A"/>
    <w:rsid w:val="00E162B9"/>
    <w:rsid w:val="00E432F1"/>
    <w:rsid w:val="00E473F7"/>
    <w:rsid w:val="00E518B6"/>
    <w:rsid w:val="00E55BF4"/>
    <w:rsid w:val="00E61FE7"/>
    <w:rsid w:val="00E656D5"/>
    <w:rsid w:val="00E70043"/>
    <w:rsid w:val="00E8489F"/>
    <w:rsid w:val="00E919FA"/>
    <w:rsid w:val="00E94C78"/>
    <w:rsid w:val="00E96764"/>
    <w:rsid w:val="00EA1BBE"/>
    <w:rsid w:val="00EA7DB0"/>
    <w:rsid w:val="00EB05BC"/>
    <w:rsid w:val="00ED5C06"/>
    <w:rsid w:val="00ED703A"/>
    <w:rsid w:val="00EE3317"/>
    <w:rsid w:val="00EF067B"/>
    <w:rsid w:val="00EF06FC"/>
    <w:rsid w:val="00F11DEC"/>
    <w:rsid w:val="00F12646"/>
    <w:rsid w:val="00F127B3"/>
    <w:rsid w:val="00F15CAC"/>
    <w:rsid w:val="00F25320"/>
    <w:rsid w:val="00F32DB1"/>
    <w:rsid w:val="00F46323"/>
    <w:rsid w:val="00F55184"/>
    <w:rsid w:val="00F64563"/>
    <w:rsid w:val="00F74AC0"/>
    <w:rsid w:val="00F75DD0"/>
    <w:rsid w:val="00F76954"/>
    <w:rsid w:val="00F80098"/>
    <w:rsid w:val="00F87937"/>
    <w:rsid w:val="00F94F67"/>
    <w:rsid w:val="00FA61C0"/>
    <w:rsid w:val="00FD24FC"/>
    <w:rsid w:val="00FD6A1F"/>
    <w:rsid w:val="00FE67B1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B0E2BA-7386-4B5A-8AEC-BBFCA362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1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6CF"/>
  </w:style>
  <w:style w:type="paragraph" w:styleId="Rodap">
    <w:name w:val="footer"/>
    <w:basedOn w:val="Normal"/>
    <w:link w:val="RodapChar"/>
    <w:uiPriority w:val="99"/>
    <w:unhideWhenUsed/>
    <w:rsid w:val="00DC1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6C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150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150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C150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B342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136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A5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A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AB4CD47-3937-480B-9BF3-F0A6316929B8}">
  <we:reference id="wa104051163" version="1.2.0.3" store="pt-BR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0B5B-3DD0-49F3-9D34-79205FAC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172</cp:revision>
  <cp:lastPrinted>2020-11-10T16:46:00Z</cp:lastPrinted>
  <dcterms:created xsi:type="dcterms:W3CDTF">2020-09-15T17:12:00Z</dcterms:created>
  <dcterms:modified xsi:type="dcterms:W3CDTF">2021-01-18T01:24:00Z</dcterms:modified>
</cp:coreProperties>
</file>